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F1A4" w14:textId="77777777" w:rsidR="00CE0764" w:rsidRDefault="003A023F" w:rsidP="003A0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23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2A700416" w14:textId="77777777" w:rsidR="008B113D" w:rsidRDefault="0031247A">
      <w:pPr>
        <w:rPr>
          <w:rFonts w:ascii="Times New Roman" w:hAnsi="Times New Roman" w:cs="Times New Roman"/>
        </w:rPr>
      </w:pPr>
      <w:r w:rsidRPr="0031247A">
        <w:rPr>
          <w:rFonts w:ascii="Times New Roman" w:hAnsi="Times New Roman" w:cs="Times New Roman"/>
        </w:rPr>
        <w:t>В эпоху цифровизации, где данные генерируются с невиданной скоростью, информационные системы (ИС) эволюционируют от статичных хранилищ к динамичным экосистемам, определяющим конкурентоспособность бизнеса и общества. Современные тенденции развития ИС, такие как интеграция искусственного интеллекта (ИИ) и машинного обучения для предиктивного анализа, переход к облачным и edge-вычислениям для минимизации задержек, внедрение блокчейна для обеспечения безопасности и децентрализации, а также акцент на устойчивость и этичность (например, green IT и privacy by design), радикально меняют ландшафт. По данным Gartner и IDC на 2026 год, более 85% enterprises используют ИИ в ИС, а рынок edge computing вырастет на 30% ежегодно. Настоящий проект анализирует эти тенденции, выявляет вызовы (кибербезопасность, интеграция legacy-систем) и предлагает стратегии адаптации для российских и глобальных компаний, способствуя устойчивому цифровому трансформации.</w:t>
      </w:r>
    </w:p>
    <w:p w14:paraId="26597BDD" w14:textId="77777777" w:rsidR="008B113D" w:rsidRPr="008B113D" w:rsidRDefault="008B113D" w:rsidP="008B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 из доминирующих тенденций -</w:t>
      </w:r>
      <w:r w:rsidRPr="008B113D">
        <w:rPr>
          <w:rFonts w:ascii="Times New Roman" w:hAnsi="Times New Roman" w:cs="Times New Roman"/>
        </w:rPr>
        <w:t xml:space="preserve"> интеграция искусственного интеллекта (ИИ) и машинного обучения (МО). В 2026 году более 80% новых ИС будут включать генеративный ИИ, как отмечает McKinsey в своем ежегодном отчете. Это проявляется в автоматизации процессов: чат-боты на базе моделей вроде Grok 4 или GPT-5 обрабатывают 70% клиентских запросов в ритейле, а предиктивная аналитика снижает простои оборудования в </w:t>
      </w:r>
      <w:r>
        <w:rPr>
          <w:rFonts w:ascii="Times New Roman" w:hAnsi="Times New Roman" w:cs="Times New Roman"/>
        </w:rPr>
        <w:t>промышленности на 40%. Пример -</w:t>
      </w:r>
      <w:bookmarkStart w:id="0" w:name="_GoBack"/>
      <w:bookmarkEnd w:id="0"/>
      <w:r w:rsidRPr="008B113D">
        <w:rPr>
          <w:rFonts w:ascii="Times New Roman" w:hAnsi="Times New Roman" w:cs="Times New Roman"/>
        </w:rPr>
        <w:t>платформа Google Cloud AI, где ИИ анализирует петабайты данных в реальном времени для прогнозирования спроса. Однако это порождает вызовы: этические дилеммы (bias в алгоритмах) и регуляции, такие как EU AI Act 2025, требующие прозрачности моделей.</w:t>
      </w:r>
    </w:p>
    <w:p w14:paraId="51F185C8" w14:textId="77777777" w:rsidR="008B113D" w:rsidRPr="008B113D" w:rsidRDefault="008B113D" w:rsidP="008B113D">
      <w:pPr>
        <w:rPr>
          <w:rFonts w:ascii="Times New Roman" w:hAnsi="Times New Roman" w:cs="Times New Roman"/>
        </w:rPr>
      </w:pPr>
    </w:p>
    <w:p w14:paraId="39A621D9" w14:textId="77777777" w:rsidR="00A07261" w:rsidRPr="0031247A" w:rsidRDefault="008B113D" w:rsidP="008B113D">
      <w:pPr>
        <w:rPr>
          <w:rFonts w:ascii="Times New Roman" w:hAnsi="Times New Roman" w:cs="Times New Roman"/>
        </w:rPr>
      </w:pPr>
      <w:r w:rsidRPr="008B113D">
        <w:rPr>
          <w:rFonts w:ascii="Times New Roman" w:hAnsi="Times New Roman" w:cs="Times New Roman"/>
        </w:rPr>
        <w:t>Параллельно набирает обороты гибридный и мультиоблачный подход. Традиционные дата-центры уступают место комбинациям публичных (AWS, Azure) и приватных облаков, с долей рынка hybrid cloud на уровне 58% (IDC, 2025). Это обеспечивает масштабируемость и резервирование: компании вроде Netflix используют multi-cloud для бесперебойного стриминга, распределяя нагрузку по регионам. В России тенденция усиливается локализацией данных по 152-ФЗ, стимулируя развитие отечественных платформ вроде Yandex Cloud и SberCloud, которые интегрируют ИИ с учетом суверенного интернета.</w:t>
      </w:r>
      <w:r w:rsidR="00A07261" w:rsidRPr="0031247A">
        <w:rPr>
          <w:rFonts w:ascii="Times New Roman" w:hAnsi="Times New Roman" w:cs="Times New Roman"/>
        </w:rPr>
        <w:br w:type="page"/>
      </w:r>
    </w:p>
    <w:p w14:paraId="356D53A8" w14:textId="77777777" w:rsidR="00A07261" w:rsidRDefault="00A07261" w:rsidP="00A07261">
      <w:pPr>
        <w:jc w:val="center"/>
        <w:rPr>
          <w:b/>
        </w:rPr>
      </w:pPr>
      <w:r>
        <w:rPr>
          <w:b/>
        </w:rPr>
        <w:lastRenderedPageBreak/>
        <w:t>Основная часть</w:t>
      </w:r>
    </w:p>
    <w:p w14:paraId="3E2F14FF" w14:textId="77777777" w:rsidR="00495D78" w:rsidRDefault="00A07261" w:rsidP="00495D78">
      <w:pPr>
        <w:pStyle w:val="a"/>
      </w:pPr>
      <w:r w:rsidRPr="00495D78">
        <w:t>Облачные технологии</w:t>
      </w:r>
    </w:p>
    <w:p w14:paraId="2F45409F" w14:textId="77777777" w:rsidR="00495D78" w:rsidRDefault="00412AFE" w:rsidP="00495D78">
      <w:r>
        <w:t>Импорт замещение</w:t>
      </w:r>
    </w:p>
    <w:p w14:paraId="0ECCE044" w14:textId="77777777" w:rsidR="00495D78" w:rsidRDefault="00495D78" w:rsidP="00495D78">
      <w:r>
        <w:t xml:space="preserve">Формирование единого информационно-правового пространства — это ключевая задача органов государственной власти. Ход её исполнения создаёт проблему </w:t>
      </w:r>
      <w:r w:rsidR="00412AFE">
        <w:t>импорт замещения</w:t>
      </w:r>
      <w:r>
        <w:t xml:space="preserve">, продолжающуюся на протяжении последних 10 лет. Важной точкой отчета является 2014 год, когда после возвращения Крыма против РФ были введены санкции </w:t>
      </w:r>
      <w:proofErr w:type="gramStart"/>
      <w:r>
        <w:t>что</w:t>
      </w:r>
      <w:proofErr w:type="gramEnd"/>
      <w:r>
        <w:t xml:space="preserve"> повлекло создание нового приказа министерства связи приказ Минсвязи № 96 «Об утверждении плана по </w:t>
      </w:r>
      <w:r w:rsidR="00412AFE">
        <w:t>импорт замещению</w:t>
      </w:r>
      <w:r>
        <w:t xml:space="preserve"> программного обеспечения». Согласно этому документу, государственные ведомства обязаны закупать только программное обеспечение, внесенное в Единый реестр российского ПО ограничивая выбор продуктов, используемых государственными ведомствами. В итоге реестр начал работу в I квартале 2016 года, далее в 2019 году было принято постановление правительства России № 878 «О мерах стимулирования производства радиоэлектронной продукции на территории России», что произвело создание «Реестра радио электронной продукции» находящееся в реестре оборудование получало приоритет в ходе государственных закупок. Март 2022 года появляется указ № 166 «О мерах по обеспечению технологической независимости в безопасности КИИ РФ», который требовал до 1 января 2025 года. полностью отказаться от использования иностранного ПО и оборудования на объектах ключевой инфраструктуры. 1 мая 2022 года указ № 250 «О дополнительных мерах по обеспечению информационной безопасности РФ» вводит полный запрет для широкого спектра компаний на использование средств информационной безопасности иностранной разработки с 2025 года.</w:t>
      </w:r>
    </w:p>
    <w:p w14:paraId="64C455A3" w14:textId="77777777" w:rsidR="00495D78" w:rsidRDefault="00495D78" w:rsidP="00495D78"/>
    <w:p w14:paraId="5B162C40" w14:textId="77777777" w:rsidR="00495D78" w:rsidRDefault="00495D78" w:rsidP="00495D78">
      <w:r>
        <w:t>Технико-технологическое отставание национальной промышленности проявляется в повсеместном преимущественном применении импортного оборудования и программного обеспечения [5, с 169]. Сущность данной проблемы заключается в том, что российским компаниям, относящимся к критическим средствам инфраструктуры, конкретно здравоохранения, промышленности, связи, транспорта, энергетики, финансового сектора и городского хозяйства. приходится переходить на новые технические решения, в оборудовании и программном обеспечении, отказываться от используемого в течении многих прошедших лет импортного инструментария</w:t>
      </w:r>
    </w:p>
    <w:p w14:paraId="7CAC6B83" w14:textId="77777777" w:rsidR="00495D78" w:rsidRDefault="00495D78" w:rsidP="00495D78"/>
    <w:p w14:paraId="7DA57FBD" w14:textId="77777777" w:rsidR="00495D78" w:rsidRDefault="00495D78" w:rsidP="00495D78">
      <w:r>
        <w:t>В результате этого процесса проявляются следующие тенденции:</w:t>
      </w:r>
    </w:p>
    <w:p w14:paraId="51227F4D" w14:textId="77777777" w:rsidR="00495D78" w:rsidRDefault="00495D78" w:rsidP="00495D78"/>
    <w:p w14:paraId="337AA0BD" w14:textId="77777777" w:rsidR="00495D78" w:rsidRDefault="00495D78" w:rsidP="00495D78">
      <w:r>
        <w:t>Увеличение доли российских вендоров и уменьшение доли иностранных вендоров.</w:t>
      </w:r>
    </w:p>
    <w:p w14:paraId="02753E7E" w14:textId="77777777" w:rsidR="00495D78" w:rsidRDefault="00495D78" w:rsidP="00495D78">
      <w:r>
        <w:t>Рост выручки отечественных поставщиков решений для защиты информации за счёт внутреннего рынка.</w:t>
      </w:r>
    </w:p>
    <w:p w14:paraId="66EB145B" w14:textId="77777777" w:rsidR="00495D78" w:rsidRDefault="00495D78" w:rsidP="00495D78">
      <w:r>
        <w:t>Для успешного преодоления существующих ограничений важно продолжать инвестиции в развитие отечественных решений, ориентируясь на:</w:t>
      </w:r>
    </w:p>
    <w:p w14:paraId="6378C3D2" w14:textId="77777777" w:rsidR="00495D78" w:rsidRDefault="00495D78" w:rsidP="00495D78"/>
    <w:p w14:paraId="2AFD3B30" w14:textId="77777777" w:rsidR="00495D78" w:rsidRDefault="00495D78" w:rsidP="00495D78">
      <w:r>
        <w:t>– совершенствование пользовательского опыта;</w:t>
      </w:r>
    </w:p>
    <w:p w14:paraId="4FD4697E" w14:textId="77777777" w:rsidR="00495D78" w:rsidRDefault="00495D78" w:rsidP="00495D78">
      <w:r>
        <w:t xml:space="preserve">– создание совместимых решений, способных заменить функционал выходящих из правомерной эксплуатации импортных систем [3, с 43]. В 2022–2024 годах наблюдается появление новых </w:t>
      </w:r>
      <w:r>
        <w:lastRenderedPageBreak/>
        <w:t>поставщиков с более узкоспециализированными решениями, что должно способствовать удовлетворению спроса на специализированные функциональные возможности, соответствующие локальным требованиям бизнеса [3, с 42]</w:t>
      </w:r>
    </w:p>
    <w:p w14:paraId="22DFE470" w14:textId="77777777" w:rsidR="00495D78" w:rsidRDefault="00495D78" w:rsidP="00495D78"/>
    <w:p w14:paraId="024B521E" w14:textId="77777777" w:rsidR="00495D78" w:rsidRPr="00412AFE" w:rsidRDefault="00495D78" w:rsidP="00495D78">
      <w:r>
        <w:t>Средний срок службы машин и оборудования в России — 15, лет, что примерно вдвое выше, чем в развитых странах. Около четверти всех машин и оборудования России работают сверх сроков амортизации, требуют дополнительных затрат на обслуживание, ремонт, запчасти, этим не позволяя переходить к новым технологиям.</w:t>
      </w:r>
      <w:r w:rsidRPr="00495D78">
        <w:t>{</w:t>
      </w:r>
      <w:commentRangeStart w:id="1"/>
      <w:r w:rsidRPr="00495D78">
        <w:t>1</w:t>
      </w:r>
      <w:commentRangeEnd w:id="1"/>
      <w:r>
        <w:rPr>
          <w:rStyle w:val="a6"/>
        </w:rPr>
        <w:commentReference w:id="1"/>
      </w:r>
      <w:r w:rsidR="00412AFE" w:rsidRPr="00412AFE">
        <w:t>}</w:t>
      </w:r>
    </w:p>
    <w:p w14:paraId="1E99E992" w14:textId="77777777" w:rsidR="00495D78" w:rsidRDefault="00495D78">
      <w:pPr>
        <w:rPr>
          <w:rFonts w:ascii="Times New Roman" w:hAnsi="Times New Roman" w:cs="Times New Roman"/>
        </w:rPr>
      </w:pPr>
      <w:r>
        <w:br w:type="page"/>
      </w:r>
    </w:p>
    <w:p w14:paraId="11A24103" w14:textId="77777777" w:rsidR="00A07261" w:rsidRPr="00495D78" w:rsidRDefault="00A07261" w:rsidP="00495D78">
      <w:pPr>
        <w:pStyle w:val="a"/>
      </w:pPr>
      <w:r w:rsidRPr="00495D78">
        <w:lastRenderedPageBreak/>
        <w:br w:type="page"/>
      </w:r>
    </w:p>
    <w:p w14:paraId="18A4D8B3" w14:textId="77777777" w:rsidR="00A07261" w:rsidRPr="00A07261" w:rsidRDefault="00A07261" w:rsidP="00A07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sectPr w:rsidR="00A07261" w:rsidRPr="00A07261" w:rsidSect="003A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udent" w:date="2026-02-03T13:03:00Z" w:initials="S">
    <w:p w14:paraId="2EB781D8" w14:textId="77777777" w:rsidR="00495D78" w:rsidRDefault="00495D78">
      <w:pPr>
        <w:pStyle w:val="a7"/>
      </w:pPr>
      <w:r>
        <w:rPr>
          <w:rStyle w:val="a6"/>
        </w:rPr>
        <w:annotationRef/>
      </w:r>
      <w:hyperlink r:id="rId1" w:history="1">
        <w:r w:rsidRPr="00FC41FF">
          <w:rPr>
            <w:rStyle w:val="ad"/>
          </w:rPr>
          <w:t>https://moluch.ru/archive/554/121941</w:t>
        </w:r>
      </w:hyperlink>
    </w:p>
    <w:p w14:paraId="50FD1023" w14:textId="77777777" w:rsidR="00495D78" w:rsidRDefault="00495D78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FD10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B777D"/>
    <w:multiLevelType w:val="hybridMultilevel"/>
    <w:tmpl w:val="38380DFE"/>
    <w:lvl w:ilvl="0" w:tplc="340C386E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3F"/>
    <w:rsid w:val="0031247A"/>
    <w:rsid w:val="003A023F"/>
    <w:rsid w:val="00412AFE"/>
    <w:rsid w:val="00495D78"/>
    <w:rsid w:val="008B113D"/>
    <w:rsid w:val="00970A9C"/>
    <w:rsid w:val="00A07261"/>
    <w:rsid w:val="00A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028"/>
  <w15:chartTrackingRefBased/>
  <w15:docId w15:val="{C862C8DE-ECAB-4DD6-A6A4-C2D91BDC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07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7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4">
    <w:name w:val="List Paragraph"/>
    <w:basedOn w:val="a0"/>
    <w:uiPriority w:val="34"/>
    <w:qFormat/>
    <w:rsid w:val="00A07261"/>
    <w:pPr>
      <w:ind w:left="720"/>
      <w:contextualSpacing/>
    </w:pPr>
  </w:style>
  <w:style w:type="paragraph" w:styleId="a">
    <w:name w:val="Title"/>
    <w:basedOn w:val="a4"/>
    <w:next w:val="a0"/>
    <w:link w:val="a5"/>
    <w:uiPriority w:val="10"/>
    <w:qFormat/>
    <w:rsid w:val="00495D78"/>
    <w:pPr>
      <w:numPr>
        <w:numId w:val="1"/>
      </w:numPr>
      <w:jc w:val="center"/>
    </w:pPr>
    <w:rPr>
      <w:rFonts w:ascii="Times New Roman" w:hAnsi="Times New Roman" w:cs="Times New Roman"/>
    </w:rPr>
  </w:style>
  <w:style w:type="character" w:customStyle="1" w:styleId="a5">
    <w:name w:val="Заголовок Знак"/>
    <w:basedOn w:val="a1"/>
    <w:link w:val="a"/>
    <w:uiPriority w:val="10"/>
    <w:rsid w:val="00495D78"/>
    <w:rPr>
      <w:rFonts w:ascii="Times New Roman" w:hAnsi="Times New Roman" w:cs="Times New Roman"/>
    </w:rPr>
  </w:style>
  <w:style w:type="character" w:styleId="a6">
    <w:name w:val="annotation reference"/>
    <w:basedOn w:val="a1"/>
    <w:uiPriority w:val="99"/>
    <w:semiHidden/>
    <w:unhideWhenUsed/>
    <w:rsid w:val="00495D78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495D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495D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5D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5D78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9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495D78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495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oluch.ru/archive/554/12194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C003-E384-461D-98A4-019DBAFD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2026-02-03T09:32:00Z</dcterms:created>
  <dcterms:modified xsi:type="dcterms:W3CDTF">2026-02-03T11:00:00Z</dcterms:modified>
</cp:coreProperties>
</file>